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ACD3" w14:textId="77777777" w:rsidR="007940C5" w:rsidRPr="00565F84" w:rsidRDefault="007940C5" w:rsidP="716C19D6">
      <w:pPr>
        <w:pStyle w:val="Title"/>
        <w:rPr>
          <w:rFonts w:asciiTheme="minorHAnsi" w:hAnsiTheme="minorHAnsi"/>
          <w:sz w:val="28"/>
          <w:szCs w:val="28"/>
        </w:rPr>
      </w:pPr>
      <w:r w:rsidRPr="716C19D6">
        <w:rPr>
          <w:rFonts w:asciiTheme="minorHAnsi" w:hAnsiTheme="minorHAnsi"/>
          <w:sz w:val="28"/>
          <w:szCs w:val="28"/>
        </w:rPr>
        <w:t>Policy on Credit for Prior Learning in Supervised Experiential Learning</w:t>
      </w:r>
    </w:p>
    <w:p w14:paraId="7FACA5C1" w14:textId="1D5FC6D7" w:rsidR="00565F84" w:rsidRPr="00565F84" w:rsidRDefault="007940C5" w:rsidP="00565F84">
      <w:pPr>
        <w:pStyle w:val="Subtitle"/>
        <w:spacing w:after="0" w:line="240" w:lineRule="auto"/>
        <w:rPr>
          <w:sz w:val="24"/>
          <w:szCs w:val="24"/>
        </w:rPr>
      </w:pPr>
      <w:r w:rsidRPr="00565F84">
        <w:rPr>
          <w:sz w:val="24"/>
          <w:szCs w:val="24"/>
        </w:rPr>
        <w:t>Recognizing and Awarding Credit for Demonstrated Competencies and Experience</w:t>
      </w:r>
    </w:p>
    <w:p w14:paraId="5F6F9E9D"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t>1. Introduction</w:t>
      </w:r>
    </w:p>
    <w:p w14:paraId="46A9CA50" w14:textId="77777777" w:rsidR="007940C5" w:rsidRDefault="007940C5" w:rsidP="00565F84">
      <w:pPr>
        <w:spacing w:after="0" w:line="240" w:lineRule="auto"/>
      </w:pPr>
      <w:r w:rsidRPr="00565F84">
        <w:t>This policy outlines the institutional framework for the recognition and awarding of academic credit for prior learning (CPL) specifically as it relates to supervised experiential learning (SEL). The purpose of this policy is to ensure that students who have gained relevant knowledge, skills, and competencies through formal, informal, or non-formal settings are provided with an equitable opportunity to have their learning assessed and credited, thus supporting more flexible educational pathways and reducing unnecessary duplication of learning.</w:t>
      </w:r>
    </w:p>
    <w:p w14:paraId="62A4FAD9" w14:textId="77777777" w:rsidR="00565F84" w:rsidRPr="00565F84" w:rsidRDefault="00565F84" w:rsidP="00565F84">
      <w:pPr>
        <w:spacing w:after="0" w:line="240" w:lineRule="auto"/>
      </w:pPr>
    </w:p>
    <w:p w14:paraId="2678F55E"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t>2. Scope</w:t>
      </w:r>
    </w:p>
    <w:p w14:paraId="2EE47EC6" w14:textId="08BF654B" w:rsidR="007940C5" w:rsidRDefault="007940C5" w:rsidP="00565F84">
      <w:pPr>
        <w:spacing w:after="0" w:line="240" w:lineRule="auto"/>
      </w:pPr>
      <w:r w:rsidRPr="00565F84">
        <w:t>This policy applies to all graduate students seeking credit for prior learning experiences aligned with supervised experiential learning components of t</w:t>
      </w:r>
      <w:r w:rsidR="00565F84">
        <w:t>he Master of Science in Nutrition and Nutrigenomics (</w:t>
      </w:r>
      <w:proofErr w:type="spellStart"/>
      <w:r w:rsidR="00565F84">
        <w:t>MSNGx</w:t>
      </w:r>
      <w:proofErr w:type="spellEnd"/>
      <w:r w:rsidR="00565F84">
        <w:t xml:space="preserve">) </w:t>
      </w:r>
      <w:r w:rsidRPr="00565F84">
        <w:t>academic program. It covers learning achieved through work experience, internships, volunteer work, military service, professional training, and other supervised professional or practical environments.</w:t>
      </w:r>
    </w:p>
    <w:p w14:paraId="09E72A23" w14:textId="77777777" w:rsidR="00565F84" w:rsidRPr="00565F84" w:rsidRDefault="00565F84" w:rsidP="00565F84">
      <w:pPr>
        <w:spacing w:after="0" w:line="240" w:lineRule="auto"/>
      </w:pPr>
    </w:p>
    <w:p w14:paraId="5C75FC0D"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t>3. Principles</w:t>
      </w:r>
    </w:p>
    <w:p w14:paraId="66DAD8DB" w14:textId="77777777" w:rsidR="007940C5" w:rsidRPr="00565F84" w:rsidRDefault="007940C5" w:rsidP="00565F84">
      <w:pPr>
        <w:pStyle w:val="ListParagraph"/>
        <w:numPr>
          <w:ilvl w:val="0"/>
          <w:numId w:val="1"/>
        </w:numPr>
        <w:spacing w:after="0" w:line="240" w:lineRule="auto"/>
      </w:pPr>
      <w:r w:rsidRPr="00565F84">
        <w:t>Academic Integrity: The assessment process must maintain the rigor and standards of the institution and ensure that credited learning meets the intended learning outcomes of supervised experiential learning components.</w:t>
      </w:r>
    </w:p>
    <w:p w14:paraId="61223E13" w14:textId="77777777" w:rsidR="007940C5" w:rsidRPr="00565F84" w:rsidRDefault="007940C5" w:rsidP="00565F84">
      <w:pPr>
        <w:pStyle w:val="ListParagraph"/>
        <w:numPr>
          <w:ilvl w:val="0"/>
          <w:numId w:val="1"/>
        </w:numPr>
        <w:spacing w:after="0" w:line="240" w:lineRule="auto"/>
      </w:pPr>
      <w:r w:rsidRPr="00565F84">
        <w:t>Transparency: Policies, procedures, and criteria for CPL assessment must be clearly communicated and consistently applied.</w:t>
      </w:r>
    </w:p>
    <w:p w14:paraId="58854F4D" w14:textId="77777777" w:rsidR="007940C5" w:rsidRPr="00565F84" w:rsidRDefault="007940C5" w:rsidP="00565F84">
      <w:pPr>
        <w:pStyle w:val="ListParagraph"/>
        <w:numPr>
          <w:ilvl w:val="0"/>
          <w:numId w:val="1"/>
        </w:numPr>
        <w:spacing w:after="0" w:line="240" w:lineRule="auto"/>
      </w:pPr>
      <w:r w:rsidRPr="00565F84">
        <w:t>Student-Centeredness: The policy should empower students to demonstrate their competencies in ways that recognize diverse learning experiences.</w:t>
      </w:r>
    </w:p>
    <w:p w14:paraId="74073FD1" w14:textId="77777777" w:rsidR="007940C5" w:rsidRPr="00565F84" w:rsidRDefault="007940C5" w:rsidP="00565F84">
      <w:pPr>
        <w:pStyle w:val="ListParagraph"/>
        <w:numPr>
          <w:ilvl w:val="0"/>
          <w:numId w:val="1"/>
        </w:numPr>
        <w:spacing w:after="0" w:line="240" w:lineRule="auto"/>
      </w:pPr>
      <w:r w:rsidRPr="00565F84">
        <w:t>Quality Assurance: Credit is only awarded for verifiable, relevant, and current learning that is equivalent in scope, level, and outcomes to the supervised experiential learning component of the program.</w:t>
      </w:r>
    </w:p>
    <w:p w14:paraId="1E773EDE"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t>4. Definitions</w:t>
      </w:r>
    </w:p>
    <w:p w14:paraId="28DE24E3" w14:textId="77777777" w:rsidR="00565F84" w:rsidRDefault="00565F84" w:rsidP="00565F84">
      <w:pPr>
        <w:pStyle w:val="ListParagraph"/>
        <w:numPr>
          <w:ilvl w:val="0"/>
          <w:numId w:val="2"/>
        </w:numPr>
        <w:spacing w:after="0" w:line="240" w:lineRule="auto"/>
      </w:pPr>
      <w:r>
        <w:t xml:space="preserve">Competency: </w:t>
      </w:r>
      <w:r w:rsidRPr="00565F84">
        <w:t>The Accreditation Council for Education in Nutrition and Dietetics (ACEND) defines competency as the requisite knowledge, abilities, skills, and professional behaviors expected of a beginning practitioner in dietetics. </w:t>
      </w:r>
    </w:p>
    <w:p w14:paraId="16D32083" w14:textId="4938F364" w:rsidR="007940C5" w:rsidRPr="00565F84" w:rsidRDefault="007940C5" w:rsidP="00565F84">
      <w:pPr>
        <w:pStyle w:val="ListParagraph"/>
        <w:numPr>
          <w:ilvl w:val="0"/>
          <w:numId w:val="2"/>
        </w:numPr>
        <w:spacing w:after="0" w:line="240" w:lineRule="auto"/>
      </w:pPr>
      <w:r w:rsidRPr="00565F84">
        <w:t>Credit for Prior Learning (CPL): The process of recognizing and awarding academic credit for learning that has occurred prior to enrollment in a particular course, program, or institution.</w:t>
      </w:r>
    </w:p>
    <w:p w14:paraId="5CEF2DF8" w14:textId="537DDC62" w:rsidR="007940C5" w:rsidRPr="00565F84" w:rsidRDefault="007940C5" w:rsidP="00565F84">
      <w:pPr>
        <w:pStyle w:val="ListParagraph"/>
        <w:numPr>
          <w:ilvl w:val="0"/>
          <w:numId w:val="2"/>
        </w:numPr>
        <w:spacing w:after="0" w:line="240" w:lineRule="auto"/>
      </w:pPr>
      <w:r w:rsidRPr="00565F84">
        <w:t>Supervised Experiential Learning (SEL): Structured learning experiences that occur in real-world or simulated environments under the supervision of qualified professionals, intended to integrate academic theory with practical application</w:t>
      </w:r>
      <w:r w:rsidR="00565F84">
        <w:t xml:space="preserve"> and competency attainment</w:t>
      </w:r>
      <w:r w:rsidRPr="00565F84">
        <w:t>.</w:t>
      </w:r>
    </w:p>
    <w:p w14:paraId="52E74FE8" w14:textId="77777777" w:rsidR="007940C5" w:rsidRPr="00565F84" w:rsidRDefault="007940C5" w:rsidP="00565F84">
      <w:pPr>
        <w:pStyle w:val="ListParagraph"/>
        <w:numPr>
          <w:ilvl w:val="0"/>
          <w:numId w:val="2"/>
        </w:numPr>
        <w:spacing w:after="0" w:line="240" w:lineRule="auto"/>
      </w:pPr>
      <w:r w:rsidRPr="00565F84">
        <w:t>Portfolio Assessment: A method of CPL assessment in which students submit documentation and reflective evidence of prior learning experiences for evaluation.</w:t>
      </w:r>
    </w:p>
    <w:p w14:paraId="45BCFC68"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lastRenderedPageBreak/>
        <w:t>5. Eligibility Criteria</w:t>
      </w:r>
    </w:p>
    <w:p w14:paraId="671EB9B9" w14:textId="77777777" w:rsidR="007940C5" w:rsidRPr="00565F84" w:rsidRDefault="007940C5" w:rsidP="00565F84">
      <w:pPr>
        <w:spacing w:after="0" w:line="240" w:lineRule="auto"/>
      </w:pPr>
      <w:r w:rsidRPr="00565F84">
        <w:t>To be eligible for CPL in supervised experiential learning, applicants must:</w:t>
      </w:r>
    </w:p>
    <w:p w14:paraId="2BCA188B" w14:textId="65032E8D" w:rsidR="007940C5" w:rsidRPr="00565F84" w:rsidRDefault="007940C5" w:rsidP="00565F84">
      <w:pPr>
        <w:pStyle w:val="ListParagraph"/>
        <w:numPr>
          <w:ilvl w:val="0"/>
          <w:numId w:val="3"/>
        </w:numPr>
        <w:spacing w:after="0" w:line="240" w:lineRule="auto"/>
      </w:pPr>
      <w:r w:rsidRPr="00565F84">
        <w:t xml:space="preserve">Be admitted to the institution and enrolled in </w:t>
      </w:r>
      <w:r w:rsidR="002F0BB4">
        <w:t xml:space="preserve">the </w:t>
      </w:r>
      <w:proofErr w:type="spellStart"/>
      <w:r w:rsidR="002F0BB4">
        <w:t>MSNGx</w:t>
      </w:r>
      <w:proofErr w:type="spellEnd"/>
      <w:r w:rsidRPr="00565F84">
        <w:t xml:space="preserve"> program.</w:t>
      </w:r>
    </w:p>
    <w:p w14:paraId="39F3CFC5" w14:textId="77777777" w:rsidR="007940C5" w:rsidRPr="00565F84" w:rsidRDefault="007940C5" w:rsidP="00565F84">
      <w:pPr>
        <w:pStyle w:val="ListParagraph"/>
        <w:numPr>
          <w:ilvl w:val="0"/>
          <w:numId w:val="3"/>
        </w:numPr>
        <w:spacing w:after="0" w:line="240" w:lineRule="auto"/>
      </w:pPr>
      <w:r w:rsidRPr="00565F84">
        <w:t>Demonstrate that their prior experiential learning is relevant and substantially equivalent to the SEL component for which credit is sought.</w:t>
      </w:r>
    </w:p>
    <w:p w14:paraId="016B7147" w14:textId="77777777" w:rsidR="007940C5" w:rsidRPr="00565F84" w:rsidRDefault="007940C5" w:rsidP="00565F84">
      <w:pPr>
        <w:pStyle w:val="ListParagraph"/>
        <w:numPr>
          <w:ilvl w:val="0"/>
          <w:numId w:val="3"/>
        </w:numPr>
        <w:spacing w:after="0" w:line="240" w:lineRule="auto"/>
      </w:pPr>
      <w:r w:rsidRPr="00565F84">
        <w:t>Submit all required documentation and evidence according to the procedures outlined in this policy.</w:t>
      </w:r>
    </w:p>
    <w:p w14:paraId="3F74173F"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t>6. Types of Prior Learning Considered</w:t>
      </w:r>
    </w:p>
    <w:p w14:paraId="782B1AD9" w14:textId="77777777" w:rsidR="007940C5" w:rsidRPr="00565F84" w:rsidRDefault="007940C5" w:rsidP="00565F84">
      <w:pPr>
        <w:spacing w:after="0" w:line="240" w:lineRule="auto"/>
      </w:pPr>
      <w:r w:rsidRPr="00565F84">
        <w:t>Credit may be considered for learning acquired through, but not limited to:</w:t>
      </w:r>
    </w:p>
    <w:p w14:paraId="5D273F67" w14:textId="77777777" w:rsidR="007940C5" w:rsidRPr="00565F84" w:rsidRDefault="007940C5" w:rsidP="00565F84">
      <w:pPr>
        <w:pStyle w:val="ListParagraph"/>
        <w:numPr>
          <w:ilvl w:val="0"/>
          <w:numId w:val="4"/>
        </w:numPr>
        <w:spacing w:after="0" w:line="240" w:lineRule="auto"/>
      </w:pPr>
      <w:r w:rsidRPr="00565F84">
        <w:t xml:space="preserve">Previous employment </w:t>
      </w:r>
      <w:proofErr w:type="gramStart"/>
      <w:r w:rsidRPr="00565F84">
        <w:t>involving</w:t>
      </w:r>
      <w:proofErr w:type="gramEnd"/>
      <w:r w:rsidRPr="00565F84">
        <w:t xml:space="preserve"> supervised or mentored practice in relevant fields.</w:t>
      </w:r>
    </w:p>
    <w:p w14:paraId="7D634E25" w14:textId="77777777" w:rsidR="007940C5" w:rsidRPr="00565F84" w:rsidRDefault="007940C5" w:rsidP="00565F84">
      <w:pPr>
        <w:pStyle w:val="ListParagraph"/>
        <w:numPr>
          <w:ilvl w:val="0"/>
          <w:numId w:val="4"/>
        </w:numPr>
        <w:spacing w:after="0" w:line="240" w:lineRule="auto"/>
      </w:pPr>
      <w:r w:rsidRPr="00565F84">
        <w:t>Completed internships, practicums, fieldwork, or clinical placements.</w:t>
      </w:r>
    </w:p>
    <w:p w14:paraId="67F1ADDF" w14:textId="77777777" w:rsidR="007940C5" w:rsidRPr="00565F84" w:rsidRDefault="007940C5" w:rsidP="00565F84">
      <w:pPr>
        <w:pStyle w:val="ListParagraph"/>
        <w:numPr>
          <w:ilvl w:val="0"/>
          <w:numId w:val="4"/>
        </w:numPr>
        <w:spacing w:after="0" w:line="240" w:lineRule="auto"/>
      </w:pPr>
      <w:r w:rsidRPr="00565F84">
        <w:t>Volunteer or community service with documented supervision and reflection.</w:t>
      </w:r>
    </w:p>
    <w:p w14:paraId="788F093F" w14:textId="77777777" w:rsidR="007940C5" w:rsidRPr="00565F84" w:rsidRDefault="007940C5" w:rsidP="00565F84">
      <w:pPr>
        <w:pStyle w:val="ListParagraph"/>
        <w:numPr>
          <w:ilvl w:val="0"/>
          <w:numId w:val="4"/>
        </w:numPr>
        <w:spacing w:after="0" w:line="240" w:lineRule="auto"/>
      </w:pPr>
      <w:r w:rsidRPr="00565F84">
        <w:t>Military training and service with applicable learning outcomes.</w:t>
      </w:r>
    </w:p>
    <w:p w14:paraId="4DCAF764" w14:textId="77777777" w:rsidR="007940C5" w:rsidRPr="00565F84" w:rsidRDefault="007940C5" w:rsidP="00565F84">
      <w:pPr>
        <w:pStyle w:val="ListParagraph"/>
        <w:numPr>
          <w:ilvl w:val="0"/>
          <w:numId w:val="4"/>
        </w:numPr>
        <w:spacing w:after="0" w:line="240" w:lineRule="auto"/>
      </w:pPr>
      <w:r w:rsidRPr="00565F84">
        <w:t>Professional development courses, certifications, or training programs with supervised elements.</w:t>
      </w:r>
    </w:p>
    <w:p w14:paraId="25C19833"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t>7. Application and Assessment Process</w:t>
      </w:r>
    </w:p>
    <w:p w14:paraId="31E1E327" w14:textId="77777777" w:rsidR="007940C5" w:rsidRPr="00565F84" w:rsidRDefault="007940C5" w:rsidP="00565F84">
      <w:pPr>
        <w:pStyle w:val="Heading2"/>
        <w:spacing w:before="0" w:after="0" w:line="240" w:lineRule="auto"/>
        <w:rPr>
          <w:rFonts w:asciiTheme="minorHAnsi" w:hAnsiTheme="minorHAnsi"/>
          <w:sz w:val="24"/>
          <w:szCs w:val="24"/>
        </w:rPr>
      </w:pPr>
      <w:r w:rsidRPr="00565F84">
        <w:rPr>
          <w:rFonts w:asciiTheme="minorHAnsi" w:hAnsiTheme="minorHAnsi"/>
          <w:sz w:val="24"/>
          <w:szCs w:val="24"/>
        </w:rPr>
        <w:t>7.1. Submission of Application</w:t>
      </w:r>
    </w:p>
    <w:p w14:paraId="39C2DE72" w14:textId="1EEE8FCA" w:rsidR="007940C5" w:rsidRPr="00565F84" w:rsidRDefault="007940C5" w:rsidP="00565F84">
      <w:pPr>
        <w:spacing w:after="0" w:line="240" w:lineRule="auto"/>
      </w:pPr>
      <w:r w:rsidRPr="00565F84">
        <w:t xml:space="preserve">Students seeking CPL for SEL must submit a formal application to the </w:t>
      </w:r>
      <w:proofErr w:type="spellStart"/>
      <w:r w:rsidR="002F0BB4">
        <w:t>MSNGx</w:t>
      </w:r>
      <w:proofErr w:type="spellEnd"/>
      <w:r w:rsidR="002F0BB4">
        <w:t xml:space="preserve"> Program Director</w:t>
      </w:r>
      <w:r w:rsidRPr="00565F84">
        <w:t>,</w:t>
      </w:r>
      <w:r w:rsidR="002F0BB4">
        <w:t xml:space="preserve"> a minimum of six weeks</w:t>
      </w:r>
      <w:r w:rsidRPr="002F0BB4">
        <w:rPr>
          <w:b/>
          <w:bCs/>
        </w:rPr>
        <w:t xml:space="preserve"> prior</w:t>
      </w:r>
      <w:r w:rsidRPr="00565F84">
        <w:t xml:space="preserve"> to the commencement of the course or practicum for which credit is sought. The application must include:</w:t>
      </w:r>
    </w:p>
    <w:p w14:paraId="3223397C" w14:textId="77777777" w:rsidR="007940C5" w:rsidRPr="00565F84" w:rsidRDefault="007940C5" w:rsidP="00565F84">
      <w:pPr>
        <w:pStyle w:val="ListParagraph"/>
        <w:numPr>
          <w:ilvl w:val="0"/>
          <w:numId w:val="5"/>
        </w:numPr>
        <w:spacing w:after="0" w:line="240" w:lineRule="auto"/>
      </w:pPr>
      <w:r w:rsidRPr="00565F84">
        <w:t>A completed CPL application form specifying the SEL component for which credit is requested.</w:t>
      </w:r>
    </w:p>
    <w:p w14:paraId="5A10245B" w14:textId="704D9F07" w:rsidR="007940C5" w:rsidRPr="00565F84" w:rsidRDefault="007940C5" w:rsidP="00565F84">
      <w:pPr>
        <w:pStyle w:val="ListParagraph"/>
        <w:numPr>
          <w:ilvl w:val="0"/>
          <w:numId w:val="5"/>
        </w:numPr>
        <w:spacing w:after="0" w:line="240" w:lineRule="auto"/>
      </w:pPr>
      <w:r w:rsidRPr="00565F84">
        <w:t xml:space="preserve">A detailed portfolio documenting the nature, duration, and context of the prior learning experience, including any relevant certifications, </w:t>
      </w:r>
      <w:r w:rsidR="002F0BB4">
        <w:t xml:space="preserve">job descriptions, </w:t>
      </w:r>
      <w:r w:rsidRPr="00565F84">
        <w:t>employment records, supervisor evaluations, and reflective statements.</w:t>
      </w:r>
    </w:p>
    <w:p w14:paraId="402AE0E3" w14:textId="77777777" w:rsidR="007940C5" w:rsidRDefault="007940C5" w:rsidP="00565F84">
      <w:pPr>
        <w:pStyle w:val="ListParagraph"/>
        <w:numPr>
          <w:ilvl w:val="0"/>
          <w:numId w:val="5"/>
        </w:numPr>
        <w:spacing w:after="0" w:line="240" w:lineRule="auto"/>
      </w:pPr>
      <w:r w:rsidRPr="00565F84">
        <w:t>Additional evidence as required (e.g., work samples, products, case studies, or multimedia presentations).</w:t>
      </w:r>
    </w:p>
    <w:p w14:paraId="1FA5F80D" w14:textId="14B09E91" w:rsidR="002F0BB4" w:rsidRPr="00565F84" w:rsidRDefault="002F0BB4" w:rsidP="00565F84">
      <w:pPr>
        <w:pStyle w:val="ListParagraph"/>
        <w:numPr>
          <w:ilvl w:val="0"/>
          <w:numId w:val="5"/>
        </w:numPr>
        <w:spacing w:after="0" w:line="240" w:lineRule="auto"/>
      </w:pPr>
      <w:r>
        <w:t>Name, Credentials, Title, and Signature of the Supervisor/Evaluator who has evaluated the student’s competency for the competency/course/items for which the student is requesting CPL.</w:t>
      </w:r>
    </w:p>
    <w:p w14:paraId="580CC23A" w14:textId="77777777" w:rsidR="007940C5" w:rsidRPr="00565F84" w:rsidRDefault="007940C5" w:rsidP="00565F84">
      <w:pPr>
        <w:pStyle w:val="Heading2"/>
        <w:spacing w:before="0" w:after="0" w:line="240" w:lineRule="auto"/>
        <w:rPr>
          <w:rFonts w:asciiTheme="minorHAnsi" w:hAnsiTheme="minorHAnsi"/>
          <w:sz w:val="24"/>
          <w:szCs w:val="24"/>
        </w:rPr>
      </w:pPr>
      <w:r w:rsidRPr="00565F84">
        <w:rPr>
          <w:rFonts w:asciiTheme="minorHAnsi" w:hAnsiTheme="minorHAnsi"/>
          <w:sz w:val="24"/>
          <w:szCs w:val="24"/>
        </w:rPr>
        <w:t>7.2. Assessment and Evaluation</w:t>
      </w:r>
    </w:p>
    <w:p w14:paraId="6AF6BF3C" w14:textId="5B2DC155" w:rsidR="007940C5" w:rsidRPr="00565F84" w:rsidRDefault="007940C5" w:rsidP="00565F84">
      <w:pPr>
        <w:pStyle w:val="ListParagraph"/>
        <w:numPr>
          <w:ilvl w:val="0"/>
          <w:numId w:val="6"/>
        </w:numPr>
        <w:spacing w:after="0" w:line="240" w:lineRule="auto"/>
      </w:pPr>
      <w:r w:rsidRPr="00565F84">
        <w:t xml:space="preserve">Applications will be reviewed by </w:t>
      </w:r>
      <w:r w:rsidR="002F0BB4">
        <w:t>the Program Director, Director of Clinical Education, and the Nutrition and Nutrigenomics Council and may include additional faculty or staff</w:t>
      </w:r>
      <w:r w:rsidRPr="00565F84">
        <w:t xml:space="preserve"> with subject-matter expertise in the relevant field.</w:t>
      </w:r>
    </w:p>
    <w:p w14:paraId="02334F80" w14:textId="77777777" w:rsidR="007940C5" w:rsidRPr="00565F84" w:rsidRDefault="007940C5" w:rsidP="00565F84">
      <w:pPr>
        <w:pStyle w:val="ListParagraph"/>
        <w:numPr>
          <w:ilvl w:val="0"/>
          <w:numId w:val="6"/>
        </w:numPr>
        <w:spacing w:after="0" w:line="240" w:lineRule="auto"/>
      </w:pPr>
      <w:r w:rsidRPr="00565F84">
        <w:t>The assessment process may include interviews, practical demonstrations, and/or challenge assessments to verify competencies and ensure alignment with intended learning outcomes.</w:t>
      </w:r>
    </w:p>
    <w:p w14:paraId="6E14078E" w14:textId="77777777" w:rsidR="007940C5" w:rsidRPr="00565F84" w:rsidRDefault="007940C5" w:rsidP="00565F84">
      <w:pPr>
        <w:pStyle w:val="ListParagraph"/>
        <w:numPr>
          <w:ilvl w:val="0"/>
          <w:numId w:val="6"/>
        </w:numPr>
        <w:spacing w:after="0" w:line="240" w:lineRule="auto"/>
      </w:pPr>
      <w:r w:rsidRPr="00565F84">
        <w:t>Credit will only be awarded when evidence clearly demonstrates that the student has achieved outcomes equivalent to those of the supervised experiential learning component.</w:t>
      </w:r>
    </w:p>
    <w:p w14:paraId="4DB2EC5B" w14:textId="77777777" w:rsidR="007940C5" w:rsidRPr="00565F84" w:rsidRDefault="007940C5" w:rsidP="00565F84">
      <w:pPr>
        <w:pStyle w:val="ListParagraph"/>
        <w:numPr>
          <w:ilvl w:val="0"/>
          <w:numId w:val="6"/>
        </w:numPr>
        <w:spacing w:after="0" w:line="240" w:lineRule="auto"/>
      </w:pPr>
      <w:r w:rsidRPr="00565F84">
        <w:t>Assessment decisions should be communicated in writing within a reasonable timeframe, typically no more than 6 weeks after the complete submission of required materials.</w:t>
      </w:r>
    </w:p>
    <w:p w14:paraId="458C95F1" w14:textId="77777777" w:rsidR="007940C5" w:rsidRPr="00565F84" w:rsidRDefault="007940C5" w:rsidP="00565F84">
      <w:pPr>
        <w:pStyle w:val="Heading1"/>
        <w:spacing w:before="0" w:after="0" w:line="240" w:lineRule="auto"/>
        <w:rPr>
          <w:rFonts w:asciiTheme="minorHAnsi" w:hAnsiTheme="minorHAnsi"/>
          <w:sz w:val="24"/>
          <w:szCs w:val="24"/>
        </w:rPr>
      </w:pPr>
      <w:r w:rsidRPr="00565F84">
        <w:rPr>
          <w:rFonts w:asciiTheme="minorHAnsi" w:hAnsiTheme="minorHAnsi"/>
          <w:sz w:val="24"/>
          <w:szCs w:val="24"/>
        </w:rPr>
        <w:lastRenderedPageBreak/>
        <w:t>8. Limits and Restrictions</w:t>
      </w:r>
    </w:p>
    <w:p w14:paraId="6A72777E" w14:textId="21AD9724" w:rsidR="007940C5" w:rsidRPr="00565F84" w:rsidRDefault="007940C5" w:rsidP="00565F84">
      <w:pPr>
        <w:pStyle w:val="ListParagraph"/>
        <w:numPr>
          <w:ilvl w:val="0"/>
          <w:numId w:val="7"/>
        </w:numPr>
        <w:spacing w:after="0" w:line="240" w:lineRule="auto"/>
      </w:pPr>
      <w:r w:rsidRPr="00565F84">
        <w:t xml:space="preserve">A maximum of </w:t>
      </w:r>
      <w:r w:rsidR="002F0BB4">
        <w:t>3</w:t>
      </w:r>
      <w:r w:rsidRPr="00565F84">
        <w:t>0% of required supervised experiential learning credits for a program may be granted through CPL, unless otherwise specified by regulatory requirements or accrediting bodies.</w:t>
      </w:r>
    </w:p>
    <w:p w14:paraId="5EDE8EDB" w14:textId="77777777" w:rsidR="007940C5" w:rsidRPr="00565F84" w:rsidRDefault="007940C5" w:rsidP="00565F84">
      <w:pPr>
        <w:pStyle w:val="ListParagraph"/>
        <w:numPr>
          <w:ilvl w:val="0"/>
          <w:numId w:val="7"/>
        </w:numPr>
        <w:spacing w:after="0" w:line="240" w:lineRule="auto"/>
      </w:pPr>
      <w:r w:rsidRPr="00565F84">
        <w:t xml:space="preserve">CPL for SEL will not be granted for experiences lacking adequate supervision, outcomes documentation, or </w:t>
      </w:r>
      <w:proofErr w:type="gramStart"/>
      <w:r w:rsidRPr="00565F84">
        <w:t>recency</w:t>
      </w:r>
      <w:proofErr w:type="gramEnd"/>
      <w:r w:rsidRPr="00565F84">
        <w:t xml:space="preserve"> (typically within the last 5 years unless otherwise justified).</w:t>
      </w:r>
    </w:p>
    <w:p w14:paraId="27E29D2C" w14:textId="77777777" w:rsidR="007940C5" w:rsidRPr="00565F84" w:rsidRDefault="007940C5" w:rsidP="00565F84">
      <w:pPr>
        <w:pStyle w:val="ListParagraph"/>
        <w:numPr>
          <w:ilvl w:val="0"/>
          <w:numId w:val="7"/>
        </w:numPr>
        <w:spacing w:after="0" w:line="240" w:lineRule="auto"/>
      </w:pPr>
      <w:r w:rsidRPr="00565F84">
        <w:t>Credits awarded through CPL will be designated accordingly on transcripts and may not be eligible for transfer to other institutions.</w:t>
      </w:r>
    </w:p>
    <w:p w14:paraId="309AA218" w14:textId="2512E63E" w:rsidR="007940C5" w:rsidRPr="002F0BB4" w:rsidRDefault="007940C5" w:rsidP="002F0BB4">
      <w:pPr>
        <w:pStyle w:val="ListParagraph"/>
        <w:numPr>
          <w:ilvl w:val="0"/>
          <w:numId w:val="7"/>
        </w:numPr>
        <w:spacing w:after="0" w:line="240" w:lineRule="auto"/>
      </w:pPr>
      <w:r w:rsidRPr="00565F84">
        <w:t>Appeals of CPL decisions must follow established institutional appeal procedures.</w:t>
      </w:r>
    </w:p>
    <w:p w14:paraId="64E04FAF" w14:textId="610C1A88" w:rsidR="007940C5" w:rsidRPr="00565F84" w:rsidRDefault="002F0BB4" w:rsidP="00565F84">
      <w:pPr>
        <w:pStyle w:val="Heading1"/>
        <w:spacing w:before="0" w:after="0" w:line="240" w:lineRule="auto"/>
        <w:rPr>
          <w:rFonts w:asciiTheme="minorHAnsi" w:hAnsiTheme="minorHAnsi"/>
          <w:sz w:val="24"/>
          <w:szCs w:val="24"/>
        </w:rPr>
      </w:pPr>
      <w:r>
        <w:rPr>
          <w:rFonts w:asciiTheme="minorHAnsi" w:hAnsiTheme="minorHAnsi"/>
          <w:sz w:val="24"/>
          <w:szCs w:val="24"/>
        </w:rPr>
        <w:t>9</w:t>
      </w:r>
      <w:r w:rsidR="007940C5" w:rsidRPr="00565F84">
        <w:rPr>
          <w:rFonts w:asciiTheme="minorHAnsi" w:hAnsiTheme="minorHAnsi"/>
          <w:sz w:val="24"/>
          <w:szCs w:val="24"/>
        </w:rPr>
        <w:t>. Appeals Process</w:t>
      </w:r>
    </w:p>
    <w:p w14:paraId="37760927" w14:textId="77777777" w:rsidR="007940C5" w:rsidRPr="00565F84" w:rsidRDefault="007940C5" w:rsidP="00565F84">
      <w:pPr>
        <w:spacing w:after="0" w:line="240" w:lineRule="auto"/>
      </w:pPr>
      <w:r w:rsidRPr="00565F84">
        <w:t>Students who wish to appeal a CPL decision must submit a formal appeal within 30 days of notification. Appeals will be reviewed by an independent committee and a decision rendered within a further 30 days.</w:t>
      </w:r>
    </w:p>
    <w:p w14:paraId="2DCDDABD" w14:textId="3BFC8D01" w:rsidR="002958FE" w:rsidRPr="00565F84" w:rsidRDefault="002958FE" w:rsidP="00565F84">
      <w:pPr>
        <w:spacing w:after="0" w:line="240" w:lineRule="auto"/>
      </w:pPr>
    </w:p>
    <w:sectPr w:rsidR="002958FE" w:rsidRPr="0056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75A"/>
    <w:multiLevelType w:val="hybridMultilevel"/>
    <w:tmpl w:val="9E9C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50661"/>
    <w:multiLevelType w:val="hybridMultilevel"/>
    <w:tmpl w:val="D7E6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20EA5"/>
    <w:multiLevelType w:val="hybridMultilevel"/>
    <w:tmpl w:val="FDEC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65053"/>
    <w:multiLevelType w:val="hybridMultilevel"/>
    <w:tmpl w:val="9EC0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73F7F"/>
    <w:multiLevelType w:val="hybridMultilevel"/>
    <w:tmpl w:val="7A3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606F7"/>
    <w:multiLevelType w:val="hybridMultilevel"/>
    <w:tmpl w:val="CC10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32A7D"/>
    <w:multiLevelType w:val="hybridMultilevel"/>
    <w:tmpl w:val="87A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A6D46"/>
    <w:multiLevelType w:val="hybridMultilevel"/>
    <w:tmpl w:val="DE7C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946CE"/>
    <w:multiLevelType w:val="hybridMultilevel"/>
    <w:tmpl w:val="0DE4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656091">
    <w:abstractNumId w:val="0"/>
  </w:num>
  <w:num w:numId="2" w16cid:durableId="224685392">
    <w:abstractNumId w:val="8"/>
  </w:num>
  <w:num w:numId="3" w16cid:durableId="788544774">
    <w:abstractNumId w:val="7"/>
  </w:num>
  <w:num w:numId="4" w16cid:durableId="954097287">
    <w:abstractNumId w:val="3"/>
  </w:num>
  <w:num w:numId="5" w16cid:durableId="964197215">
    <w:abstractNumId w:val="4"/>
  </w:num>
  <w:num w:numId="6" w16cid:durableId="2018606399">
    <w:abstractNumId w:val="2"/>
  </w:num>
  <w:num w:numId="7" w16cid:durableId="66155880">
    <w:abstractNumId w:val="6"/>
  </w:num>
  <w:num w:numId="8" w16cid:durableId="1065908897">
    <w:abstractNumId w:val="5"/>
  </w:num>
  <w:num w:numId="9" w16cid:durableId="166200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C5"/>
    <w:rsid w:val="00027BE1"/>
    <w:rsid w:val="001B7F77"/>
    <w:rsid w:val="002958FE"/>
    <w:rsid w:val="002B187C"/>
    <w:rsid w:val="002F0BB4"/>
    <w:rsid w:val="00565F84"/>
    <w:rsid w:val="006A240E"/>
    <w:rsid w:val="007940C5"/>
    <w:rsid w:val="00844F01"/>
    <w:rsid w:val="00882192"/>
    <w:rsid w:val="00CB2CE0"/>
    <w:rsid w:val="00D4123A"/>
    <w:rsid w:val="00D54C5B"/>
    <w:rsid w:val="00DE1A51"/>
    <w:rsid w:val="00ED36B9"/>
    <w:rsid w:val="716C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5CEA"/>
  <w15:chartTrackingRefBased/>
  <w15:docId w15:val="{BD954385-49C5-4C1E-95BC-70678262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4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4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0C5"/>
    <w:rPr>
      <w:rFonts w:eastAsiaTheme="majorEastAsia" w:cstheme="majorBidi"/>
      <w:color w:val="272727" w:themeColor="text1" w:themeTint="D8"/>
    </w:rPr>
  </w:style>
  <w:style w:type="paragraph" w:styleId="Title">
    <w:name w:val="Title"/>
    <w:basedOn w:val="Normal"/>
    <w:next w:val="Normal"/>
    <w:link w:val="TitleChar"/>
    <w:uiPriority w:val="10"/>
    <w:qFormat/>
    <w:rsid w:val="00794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0C5"/>
    <w:pPr>
      <w:spacing w:before="160"/>
      <w:jc w:val="center"/>
    </w:pPr>
    <w:rPr>
      <w:i/>
      <w:iCs/>
      <w:color w:val="404040" w:themeColor="text1" w:themeTint="BF"/>
    </w:rPr>
  </w:style>
  <w:style w:type="character" w:customStyle="1" w:styleId="QuoteChar">
    <w:name w:val="Quote Char"/>
    <w:basedOn w:val="DefaultParagraphFont"/>
    <w:link w:val="Quote"/>
    <w:uiPriority w:val="29"/>
    <w:rsid w:val="007940C5"/>
    <w:rPr>
      <w:i/>
      <w:iCs/>
      <w:color w:val="404040" w:themeColor="text1" w:themeTint="BF"/>
    </w:rPr>
  </w:style>
  <w:style w:type="paragraph" w:styleId="ListParagraph">
    <w:name w:val="List Paragraph"/>
    <w:basedOn w:val="Normal"/>
    <w:uiPriority w:val="34"/>
    <w:qFormat/>
    <w:rsid w:val="007940C5"/>
    <w:pPr>
      <w:ind w:left="720"/>
      <w:contextualSpacing/>
    </w:pPr>
  </w:style>
  <w:style w:type="character" w:styleId="IntenseEmphasis">
    <w:name w:val="Intense Emphasis"/>
    <w:basedOn w:val="DefaultParagraphFont"/>
    <w:uiPriority w:val="21"/>
    <w:qFormat/>
    <w:rsid w:val="007940C5"/>
    <w:rPr>
      <w:i/>
      <w:iCs/>
      <w:color w:val="0F4761" w:themeColor="accent1" w:themeShade="BF"/>
    </w:rPr>
  </w:style>
  <w:style w:type="paragraph" w:styleId="IntenseQuote">
    <w:name w:val="Intense Quote"/>
    <w:basedOn w:val="Normal"/>
    <w:next w:val="Normal"/>
    <w:link w:val="IntenseQuoteChar"/>
    <w:uiPriority w:val="30"/>
    <w:qFormat/>
    <w:rsid w:val="00794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0C5"/>
    <w:rPr>
      <w:i/>
      <w:iCs/>
      <w:color w:val="0F4761" w:themeColor="accent1" w:themeShade="BF"/>
    </w:rPr>
  </w:style>
  <w:style w:type="character" w:styleId="IntenseReference">
    <w:name w:val="Intense Reference"/>
    <w:basedOn w:val="DefaultParagraphFont"/>
    <w:uiPriority w:val="32"/>
    <w:qFormat/>
    <w:rsid w:val="007940C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0d78a4-de77-4666-a47b-d26c6173fe44" xsi:nil="true"/>
    <lcf76f155ced4ddcb4097134ff3c332f xmlns="b46c91f2-41f8-40bc-a5ac-3c0ec74ebc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C64E1CC2D044B8CCD1FE923A70077" ma:contentTypeVersion="18" ma:contentTypeDescription="Create a new document." ma:contentTypeScope="" ma:versionID="3f4c66e91abac4f7639cf6b335efa6f5">
  <xsd:schema xmlns:xsd="http://www.w3.org/2001/XMLSchema" xmlns:xs="http://www.w3.org/2001/XMLSchema" xmlns:p="http://schemas.microsoft.com/office/2006/metadata/properties" xmlns:ns2="b46c91f2-41f8-40bc-a5ac-3c0ec74ebc30" xmlns:ns3="c80d78a4-de77-4666-a47b-d26c6173fe44" targetNamespace="http://schemas.microsoft.com/office/2006/metadata/properties" ma:root="true" ma:fieldsID="befd6bf2a168d8cb0fbc7d3155d5e08d" ns2:_="" ns3:_="">
    <xsd:import namespace="b46c91f2-41f8-40bc-a5ac-3c0ec74ebc30"/>
    <xsd:import namespace="c80d78a4-de77-4666-a47b-d26c6173fe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91f2-41f8-40bc-a5ac-3c0ec74eb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377cbc-40e9-455d-926a-1ed8a46b5d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d78a4-de77-4666-a47b-d26c6173fe4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a5660a-932f-402e-a4e8-c601e86863ae}" ma:internalName="TaxCatchAll" ma:showField="CatchAllData" ma:web="c80d78a4-de77-4666-a47b-d26c6173fe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2446B-41CB-4B9E-8001-8A687263B7EA}">
  <ds:schemaRefs>
    <ds:schemaRef ds:uri="http://schemas.microsoft.com/sharepoint/v3/contenttype/forms"/>
  </ds:schemaRefs>
</ds:datastoreItem>
</file>

<file path=customXml/itemProps2.xml><?xml version="1.0" encoding="utf-8"?>
<ds:datastoreItem xmlns:ds="http://schemas.openxmlformats.org/officeDocument/2006/customXml" ds:itemID="{8816422A-E6D7-4987-9079-FBFF9417F781}">
  <ds:schemaRefs>
    <ds:schemaRef ds:uri="http://purl.org/dc/terms/"/>
    <ds:schemaRef ds:uri="http://schemas.microsoft.com/office/2006/metadata/properties"/>
    <ds:schemaRef ds:uri="http://purl.org/dc/dcmitype/"/>
    <ds:schemaRef ds:uri="c80d78a4-de77-4666-a47b-d26c6173fe44"/>
    <ds:schemaRef ds:uri="http://schemas.microsoft.com/office/2006/documentManagement/types"/>
    <ds:schemaRef ds:uri="b46c91f2-41f8-40bc-a5ac-3c0ec74ebc30"/>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CD1383-44BB-4D8C-8CAB-A5D452ADA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91f2-41f8-40bc-a5ac-3c0ec74ebc30"/>
    <ds:schemaRef ds:uri="c80d78a4-de77-4666-a47b-d26c6173f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5282</Characters>
  <Application>Microsoft Office Word</Application>
  <DocSecurity>0</DocSecurity>
  <Lines>229</Lines>
  <Paragraphs>122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klpike</dc:creator>
  <cp:keywords/>
  <dc:description/>
  <cp:lastModifiedBy>klpike</cp:lastModifiedBy>
  <cp:revision>2</cp:revision>
  <dcterms:created xsi:type="dcterms:W3CDTF">2025-12-03T17:48:00Z</dcterms:created>
  <dcterms:modified xsi:type="dcterms:W3CDTF">2025-12-03T17:48:00Z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0x0101006AAC64E1CC2D044B8CCD1FE923A70077</vt:lpwstr>
  </property>
  <property fmtid="{D5CDD505-2E9C-101B-9397-08002B2CF9AE}" pid="3" name="MediaServiceImageTags">
    <vt:lpwstr/>
  </property>
</Properties>
</file>